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1FC" w:rsidRPr="0077197C" w:rsidRDefault="006D51FC" w:rsidP="00FF526A">
      <w:pPr>
        <w:bidi/>
        <w:spacing w:before="100" w:beforeAutospacing="1" w:after="100" w:afterAutospacing="1" w:line="240" w:lineRule="auto"/>
        <w:rPr>
          <w:rFonts w:ascii="Adobe Arabic" w:eastAsia="Times New Roman" w:hAnsi="Adobe Arabic" w:cs="Adobe Arabic"/>
          <w:color w:val="000000" w:themeColor="text1"/>
          <w:sz w:val="36"/>
          <w:szCs w:val="36"/>
        </w:rPr>
      </w:pP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ت</w:t>
      </w:r>
      <w:r w:rsidR="00FF526A"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ُ</w:t>
      </w: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علّ</w:t>
      </w:r>
      <w:r w:rsidR="00FF526A"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ِ</w:t>
      </w: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م</w:t>
      </w:r>
      <w:r w:rsidR="00FF526A"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ُ</w:t>
      </w: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نا الكنيس</w:t>
      </w:r>
      <w:r w:rsidR="00FF526A"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َ</w:t>
      </w: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ة</w:t>
      </w:r>
      <w:r w:rsidR="00FF526A"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ُ</w:t>
      </w: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 xml:space="preserve"> أن نكون</w:t>
      </w:r>
      <w:r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َ</w:t>
      </w: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 xml:space="preserve"> ر</w:t>
      </w:r>
      <w:r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ُ</w:t>
      </w: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ح</w:t>
      </w:r>
      <w:r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َ</w:t>
      </w: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ماء ب</w:t>
      </w:r>
      <w:r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ِ</w:t>
      </w: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ع</w:t>
      </w:r>
      <w:r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ِ</w:t>
      </w: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د</w:t>
      </w:r>
      <w:r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َ</w:t>
      </w: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ة ط</w:t>
      </w:r>
      <w:r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ُ</w:t>
      </w: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ر</w:t>
      </w:r>
      <w:r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ُ</w:t>
      </w:r>
      <w:r w:rsidRPr="0077197C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ق</w:t>
      </w:r>
      <w:r>
        <w:rPr>
          <w:rFonts w:ascii="Adobe Arabic" w:eastAsia="Times New Roman" w:hAnsi="Adobe Arabic" w:cs="Adobe Arabic" w:hint="cs"/>
          <w:color w:val="000000" w:themeColor="text1"/>
          <w:sz w:val="36"/>
          <w:szCs w:val="36"/>
          <w:rtl/>
        </w:rPr>
        <w:t>ٍ</w:t>
      </w:r>
    </w:p>
    <w:tbl>
      <w:tblPr>
        <w:tblW w:w="11183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83"/>
      </w:tblGrid>
      <w:tr w:rsidR="006D51FC" w:rsidRPr="0077197C" w:rsidTr="006D51FC">
        <w:trPr>
          <w:tblCellSpacing w:w="15" w:type="dxa"/>
          <w:jc w:val="center"/>
        </w:trPr>
        <w:tc>
          <w:tcPr>
            <w:tcW w:w="11123" w:type="dxa"/>
            <w:vAlign w:val="center"/>
            <w:hideMark/>
          </w:tcPr>
          <w:p w:rsidR="00C7409E" w:rsidRDefault="00C7409E" w:rsidP="00FF526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b/>
                <w:bCs/>
                <w:color w:val="000000" w:themeColor="text1"/>
                <w:sz w:val="36"/>
                <w:szCs w:val="36"/>
                <w:rtl/>
                <w:lang w:bidi="ar-JO"/>
              </w:rPr>
            </w:pPr>
          </w:p>
          <w:p w:rsidR="00C7409E" w:rsidRDefault="00C7409E" w:rsidP="00FF526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b/>
                <w:bCs/>
                <w:color w:val="000000" w:themeColor="text1"/>
                <w:sz w:val="36"/>
                <w:szCs w:val="36"/>
                <w:rtl/>
                <w:lang w:bidi="ar-J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048"/>
            </w:tblGrid>
            <w:tr w:rsidR="00C7409E" w:rsidTr="00C7409E">
              <w:tc>
                <w:tcPr>
                  <w:tcW w:w="11048" w:type="dxa"/>
                </w:tcPr>
                <w:p w:rsidR="00C7409E" w:rsidRDefault="00C7409E" w:rsidP="00A30DE1">
                  <w:pPr>
                    <w:bidi/>
                    <w:spacing w:before="100" w:beforeAutospacing="1" w:after="100" w:afterAutospacing="1"/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lang w:bidi="ar-JO"/>
                    </w:rPr>
                  </w:pP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لأنّي ج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عتُ فأطع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مت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موني. متّى 25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،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35</w:t>
                  </w:r>
                </w:p>
              </w:tc>
            </w:tr>
            <w:tr w:rsidR="00C7409E" w:rsidTr="00C7409E">
              <w:tc>
                <w:tcPr>
                  <w:tcW w:w="11048" w:type="dxa"/>
                </w:tcPr>
                <w:p w:rsidR="00C7409E" w:rsidRDefault="00FF526A" w:rsidP="00A30DE1">
                  <w:pPr>
                    <w:bidi/>
                    <w:spacing w:before="100" w:beforeAutospacing="1" w:after="100" w:afterAutospacing="1"/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lang w:bidi="ar-JO"/>
                    </w:rPr>
                  </w:pPr>
                  <w:r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و</w:t>
                  </w:r>
                  <w:r w:rsidR="00C7409E"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ع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="00C7409E"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ط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="00C7409E"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شتُ فس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="00C7409E"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قيتموني. متّى 25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،</w:t>
                  </w:r>
                  <w:r w:rsidR="00C7409E"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35</w:t>
                  </w:r>
                </w:p>
              </w:tc>
            </w:tr>
            <w:tr w:rsidR="00C7409E" w:rsidTr="00C7409E">
              <w:tc>
                <w:tcPr>
                  <w:tcW w:w="11048" w:type="dxa"/>
                </w:tcPr>
                <w:p w:rsidR="00C7409E" w:rsidRDefault="00C7409E" w:rsidP="00A30DE1">
                  <w:pPr>
                    <w:bidi/>
                    <w:spacing w:before="100" w:beforeAutospacing="1" w:after="100" w:afterAutospacing="1"/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lang w:bidi="ar-JO"/>
                    </w:rPr>
                  </w:pP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ك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نتُ ع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ريان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ً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ا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فك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سوت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موني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.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متّى 25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،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36</w:t>
                  </w:r>
                </w:p>
              </w:tc>
            </w:tr>
            <w:tr w:rsidR="00C7409E" w:rsidTr="00C7409E">
              <w:tc>
                <w:tcPr>
                  <w:tcW w:w="11048" w:type="dxa"/>
                </w:tcPr>
                <w:p w:rsidR="00C7409E" w:rsidRDefault="00C7409E" w:rsidP="00A30DE1">
                  <w:pPr>
                    <w:bidi/>
                    <w:spacing w:before="100" w:beforeAutospacing="1" w:after="100" w:afterAutospacing="1"/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lang w:bidi="ar-JO"/>
                    </w:rPr>
                  </w:pP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ك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نتُ م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حبوس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ً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ا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فأتيت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 إليّ. متّى 25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،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36</w:t>
                  </w:r>
                </w:p>
              </w:tc>
            </w:tr>
            <w:tr w:rsidR="00C7409E" w:rsidTr="00C7409E">
              <w:tc>
                <w:tcPr>
                  <w:tcW w:w="11048" w:type="dxa"/>
                </w:tcPr>
                <w:p w:rsidR="00C7409E" w:rsidRDefault="00862ABF" w:rsidP="00A30DE1">
                  <w:pPr>
                    <w:bidi/>
                    <w:spacing w:before="100" w:beforeAutospacing="1" w:after="100" w:afterAutospacing="1"/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lang w:bidi="ar-JO"/>
                    </w:rPr>
                  </w:pP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ك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نتُ م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ريض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ً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ا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فع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دت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موني. متّى 25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،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36</w:t>
                  </w:r>
                </w:p>
              </w:tc>
            </w:tr>
            <w:tr w:rsidR="00C7409E" w:rsidTr="00C7409E">
              <w:tc>
                <w:tcPr>
                  <w:tcW w:w="11048" w:type="dxa"/>
                </w:tcPr>
                <w:p w:rsidR="00C7409E" w:rsidRDefault="00862ABF" w:rsidP="00A30DE1">
                  <w:pPr>
                    <w:bidi/>
                    <w:spacing w:before="100" w:beforeAutospacing="1" w:after="100" w:afterAutospacing="1"/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lang w:bidi="ar-JO"/>
                    </w:rPr>
                  </w:pP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الح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ق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الح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ق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أقول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لك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 إن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ك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 ك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ل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ما فعلت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</w:t>
                  </w:r>
                  <w:r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ذل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ك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بأح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د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إخو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تي هؤلاء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الص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ِّ</w:t>
                  </w:r>
                  <w:r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غار، ف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ل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ي ف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علت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موه. متّى 25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،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40</w:t>
                  </w:r>
                </w:p>
              </w:tc>
            </w:tr>
            <w:tr w:rsidR="00C7409E" w:rsidTr="00C7409E">
              <w:tc>
                <w:tcPr>
                  <w:tcW w:w="11048" w:type="dxa"/>
                </w:tcPr>
                <w:p w:rsidR="00C7409E" w:rsidRDefault="00862ABF" w:rsidP="001B2227">
                  <w:pPr>
                    <w:bidi/>
                    <w:spacing w:before="100" w:beforeAutospacing="1" w:after="100" w:afterAutospacing="1"/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lang w:bidi="ar-JO"/>
                    </w:rPr>
                  </w:pP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إنّ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ه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ه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كذا يكون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في الس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ماء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فرح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ٌ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ب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خاط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ئ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ٍ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واح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د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ٍ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يتوب أكث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ر م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ا يكون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بت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سع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ة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و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ت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سعين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ص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دّيق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ً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ا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لا ي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حتاجون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إلى الت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وب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ة. لوقا 15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،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7</w:t>
                  </w:r>
                </w:p>
              </w:tc>
            </w:tr>
            <w:tr w:rsidR="00C7409E" w:rsidTr="00C7409E">
              <w:tc>
                <w:tcPr>
                  <w:tcW w:w="11048" w:type="dxa"/>
                </w:tcPr>
                <w:p w:rsidR="00C7409E" w:rsidRDefault="00FF526A" w:rsidP="001B2227">
                  <w:pPr>
                    <w:bidi/>
                    <w:spacing w:before="100" w:beforeAutospacing="1" w:after="100" w:afterAutospacing="1"/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lang w:bidi="ar-JO"/>
                    </w:rPr>
                  </w:pP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إ</w:t>
                  </w:r>
                  <w:r w:rsidR="00C952BB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ذه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="00C952BB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بوا إلى العال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="00C952BB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="00C952BB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أجم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="00C952BB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ع و</w:t>
                  </w:r>
                  <w:r w:rsidR="00862ABF"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اكر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="00862ABF"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زوا بالإنجيل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="00862ABF"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للخ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="00862ABF"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ليق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="00862ABF"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ة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="00862ABF"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ك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="00862ABF"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لّ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ها. مرقس 16</w:t>
                  </w:r>
                  <w:r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،</w:t>
                  </w:r>
                  <w:r w:rsidR="00862ABF"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15</w:t>
                  </w:r>
                </w:p>
              </w:tc>
            </w:tr>
            <w:tr w:rsidR="00862ABF" w:rsidTr="00C7409E">
              <w:tc>
                <w:tcPr>
                  <w:tcW w:w="11048" w:type="dxa"/>
                </w:tcPr>
                <w:p w:rsidR="00862ABF" w:rsidRPr="0077197C" w:rsidRDefault="00C952BB" w:rsidP="00FF526A">
                  <w:pPr>
                    <w:bidi/>
                    <w:spacing w:before="100" w:beforeAutospacing="1" w:after="100" w:afterAutospacing="1"/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</w:pP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الس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لام أستود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ع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ك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 سلامي أ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عطيك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م...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لا ت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ضط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رب ق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لوب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ك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 و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لا ت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جز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ع. يوحن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</w:t>
                  </w:r>
                  <w:r w:rsidR="00FF526A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ا 14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،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27</w:t>
                  </w:r>
                </w:p>
              </w:tc>
            </w:tr>
            <w:tr w:rsidR="00C952BB" w:rsidTr="00C7409E">
              <w:tc>
                <w:tcPr>
                  <w:tcW w:w="11048" w:type="dxa"/>
                </w:tcPr>
                <w:p w:rsidR="00C952BB" w:rsidRPr="0077197C" w:rsidRDefault="00C952BB" w:rsidP="00FF526A">
                  <w:pPr>
                    <w:bidi/>
                    <w:spacing w:before="100" w:beforeAutospacing="1" w:after="100" w:afterAutospacing="1"/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</w:pP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ت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عالوا إليّ يا ج</w:t>
                  </w:r>
                  <w:r w:rsidR="00FF526A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ميع الم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تع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بين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="00A30DE1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و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المُث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ق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لين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="00A30DE1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و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أنا أ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ريح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ك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="00A30DE1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م. متّى 11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،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28</w:t>
                  </w:r>
                </w:p>
              </w:tc>
            </w:tr>
            <w:tr w:rsidR="00C952BB" w:rsidRPr="0077197C" w:rsidTr="00FF526A">
              <w:tc>
                <w:tcPr>
                  <w:tcW w:w="11048" w:type="dxa"/>
                </w:tcPr>
                <w:p w:rsidR="00C952BB" w:rsidRPr="0077197C" w:rsidRDefault="00C952BB" w:rsidP="00A30DE1">
                  <w:pPr>
                    <w:bidi/>
                    <w:spacing w:before="100" w:beforeAutospacing="1" w:after="100" w:afterAutospacing="1"/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</w:pP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أ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ح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ب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وا أعداء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ك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="00A30DE1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م، و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أحس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نوا إلى م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ن ي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بغ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ض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ك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="00A30DE1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م، و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بار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كوا لاع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نيك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="00A30DE1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.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لوقا 6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،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27-28</w:t>
                  </w:r>
                </w:p>
              </w:tc>
            </w:tr>
            <w:tr w:rsidR="00C952BB" w:rsidRPr="0077197C" w:rsidTr="00FF526A">
              <w:tc>
                <w:tcPr>
                  <w:tcW w:w="11048" w:type="dxa"/>
                </w:tcPr>
                <w:p w:rsidR="00C952BB" w:rsidRPr="0077197C" w:rsidRDefault="00C952BB" w:rsidP="00FF526A">
                  <w:pPr>
                    <w:bidi/>
                    <w:spacing w:before="100" w:beforeAutospacing="1" w:after="100" w:afterAutospacing="1"/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</w:pPr>
                  <w:r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و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اغف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ر لنا ذ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نوب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نا ك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ما نحن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ن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غف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ر ل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ِ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ن أساء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="00A30DE1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إلينا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. </w:t>
                  </w:r>
                  <w:r w:rsidR="00A30DE1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متّى 6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،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12</w:t>
                  </w:r>
                </w:p>
              </w:tc>
            </w:tr>
            <w:tr w:rsidR="00C952BB" w:rsidRPr="0077197C" w:rsidTr="00FF526A">
              <w:tc>
                <w:tcPr>
                  <w:tcW w:w="11048" w:type="dxa"/>
                </w:tcPr>
                <w:p w:rsidR="00C952BB" w:rsidRPr="0077197C" w:rsidRDefault="00C952BB" w:rsidP="00FF526A">
                  <w:pPr>
                    <w:bidi/>
                    <w:spacing w:before="100" w:beforeAutospacing="1" w:after="100" w:afterAutospacing="1"/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</w:pP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يا أبتِ إنّ ال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ذين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أعطيت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ني أ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ريد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أن ي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َ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كونوا معي حيث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ُ</w:t>
                  </w:r>
                  <w:r w:rsidR="00A30DE1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أنا</w:t>
                  </w:r>
                  <w:r w:rsidR="00A30DE1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.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 xml:space="preserve"> يوحن</w:t>
                  </w:r>
                  <w:r w:rsidR="001B2227">
                    <w:rPr>
                      <w:rFonts w:ascii="Adobe Arabic" w:eastAsia="Times New Roman" w:hAnsi="Adobe Arabic" w:cs="Adobe Arabic" w:hint="cs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ّ</w:t>
                  </w:r>
                  <w:r w:rsidRPr="0077197C">
                    <w:rPr>
                      <w:rFonts w:ascii="Adobe Arabic" w:eastAsia="Times New Roman" w:hAnsi="Adobe Arabic" w:cs="Adobe Arabic"/>
                      <w:color w:val="000000" w:themeColor="text1"/>
                      <w:sz w:val="36"/>
                      <w:szCs w:val="36"/>
                      <w:rtl/>
                      <w:lang w:bidi="ar-JO"/>
                    </w:rPr>
                    <w:t>ا 17</w:t>
                  </w:r>
                </w:p>
              </w:tc>
            </w:tr>
          </w:tbl>
          <w:p w:rsidR="006D51FC" w:rsidRPr="0077197C" w:rsidRDefault="006D51FC" w:rsidP="00FF526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</w:p>
        </w:tc>
      </w:tr>
    </w:tbl>
    <w:p w:rsidR="00CE7BEC" w:rsidRDefault="00CE7BEC" w:rsidP="00FF526A">
      <w:pPr>
        <w:bidi/>
        <w:rPr>
          <w:rtl/>
        </w:rPr>
      </w:pPr>
    </w:p>
    <w:p w:rsidR="005D5FCE" w:rsidRDefault="005D5FCE">
      <w:pPr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</w:pPr>
      <w:r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br w:type="page"/>
      </w:r>
    </w:p>
    <w:p w:rsidR="005D5FCE" w:rsidRDefault="005D5FCE" w:rsidP="005D5FCE">
      <w:pPr>
        <w:bidi/>
        <w:spacing w:before="100" w:beforeAutospacing="1" w:after="100" w:afterAutospacing="1" w:line="240" w:lineRule="auto"/>
        <w:rPr>
          <w:rFonts w:ascii="Adobe Arabic" w:eastAsia="Times New Roman" w:hAnsi="Adobe Arabic" w:cs="Adobe Arabic"/>
          <w:color w:val="000000" w:themeColor="text1"/>
          <w:sz w:val="36"/>
          <w:szCs w:val="36"/>
        </w:rPr>
      </w:pPr>
      <w:bookmarkStart w:id="0" w:name="_GoBack"/>
      <w:bookmarkEnd w:id="0"/>
      <w:r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lastRenderedPageBreak/>
        <w:t>تُعلِّمُنا الكَنيسةُ أن نَكونَ رُحَماء بِعِدَة طُرُقٍ</w:t>
      </w:r>
    </w:p>
    <w:tbl>
      <w:tblPr>
        <w:tblW w:w="11183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83"/>
      </w:tblGrid>
      <w:tr w:rsidR="005D5FCE" w:rsidTr="005D5FCE">
        <w:trPr>
          <w:tblCellSpacing w:w="15" w:type="dxa"/>
          <w:jc w:val="center"/>
        </w:trPr>
        <w:tc>
          <w:tcPr>
            <w:tcW w:w="11123" w:type="dxa"/>
            <w:vAlign w:val="center"/>
            <w:hideMark/>
          </w:tcPr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="Adobe Arabic" w:eastAsia="Times New Roman" w:hAnsi="Adobe Arabic" w:cs="Adobe Arabic"/>
                <w:b/>
                <w:bCs/>
                <w:color w:val="000000" w:themeColor="text1"/>
                <w:sz w:val="36"/>
                <w:szCs w:val="36"/>
                <w:rtl/>
                <w:lang w:bidi="ar-JO"/>
              </w:rPr>
              <w:t>أعمالُ الرَّحمةِ الجَسديَّة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1- إطعامُ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الجائِع: "لأنّي جِعتُ فأطعَمتُموني". متّى 25، 35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2- إرواءُ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العَطشان: "وعَطِشتُ </w:t>
            </w:r>
            <w:proofErr w:type="spell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فسَقيتموني</w:t>
            </w:r>
            <w:proofErr w:type="spell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". متّى 25، 35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3- إكساءُ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العُريان: "كُنتُ عُريانًا فكَسوتُموني". متّى 25، 36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4- زيارَةُ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السَّجين: "كُنتُ مَحبوسًا فأتيتُم إليّ". متّى 25، 36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5- إيواءُ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المُشرَّد: "كُنتُ غَريبًا فآويتموني". متّى 25، 35 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6- زيارَةُ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المَريض: "كُنتُ مَريضًا فعُدتُموني". متّى 25، 36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7- دفنُ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المَيت: "الحَقَّ </w:t>
            </w:r>
            <w:proofErr w:type="spell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الحَقَّ</w:t>
            </w:r>
            <w:proofErr w:type="spell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أقولُ لكُم إنَّكُم كُلَّما فعلتُم ذلِكَ بأحَدِ إخوَتي هؤلاءِ الصِّغار، فلي فَعلتُموه". متّى 25، 40.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  <w:t> </w:t>
            </w:r>
            <w:r>
              <w:rPr>
                <w:rFonts w:ascii="Adobe Arabic" w:eastAsia="Times New Roman" w:hAnsi="Adobe Arabic" w:cs="Adobe Arabic"/>
                <w:b/>
                <w:bCs/>
                <w:color w:val="000000" w:themeColor="text1"/>
                <w:sz w:val="36"/>
                <w:szCs w:val="36"/>
                <w:rtl/>
                <w:lang w:bidi="ar-JO"/>
              </w:rPr>
              <w:t>أعمالُ الرَّحمةِ الرُّوحيَّة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1- نُصحُ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الخاطِئ: "إنَّهُ هَكذا يكونُ في السَّماءِ فرحٌ بِخاطِئٍ واحِدٍ يتوب أكثَر مِمّا يكونُ بتِسعَةِ وتِسعينَ صِدّيقًا لا يَحتاجونَ إلى التَّوبَة". لوقا 15، 7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2- إرشادُ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الجاهِل: "</w:t>
            </w:r>
            <w:proofErr w:type="spell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إذهَبوا</w:t>
            </w:r>
            <w:proofErr w:type="spell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إلى العالَمِ أجمَع واكرِزوا بالإنجيلِ للخَليقَةِ كُلِّها". </w:t>
            </w:r>
            <w:proofErr w:type="spell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مرقس</w:t>
            </w:r>
            <w:proofErr w:type="spell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16، 15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3- إرشادُ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مُضطَّربِ القَلب: "السَّلام أستودِعُكُم سلامي أُعطيكُم... لا تَضطّرب قُلوبُكُم ولا تَجزَع". يوحنّا 14، 27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4- تَعزيَةُ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الحَزين: "تَعالوا إليّ يا جَميع المُتعَبينَ والمُثَقَّلينَ وأنا أُريحُكُم". متّى 11، 28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5- تَحمُّل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الظُّلم بِصَبر: "أَحِبّوا أعداءَكُم، وأحسِنوا إلى مَن يُبغِضُكُم، وبارِكوا لاعِنيكُم". لوقا 6، 27-28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6- غُفرانُ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جميعِ الإساءاتِ والأذى: "واغفِر لنا ذُنوبَنا كَما نحنُ نَغفِر لِمَن أساءَ إلينا". متّى 6، 12</w:t>
            </w:r>
          </w:p>
          <w:p w:rsidR="005D5FCE" w:rsidRDefault="005D5FCE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</w:rPr>
            </w:pPr>
            <w:proofErr w:type="gramStart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>7- الصَّلاةُ</w:t>
            </w:r>
            <w:proofErr w:type="gramEnd"/>
            <w:r>
              <w:rPr>
                <w:rFonts w:ascii="Adobe Arabic" w:eastAsia="Times New Roman" w:hAnsi="Adobe Arabic" w:cs="Adobe Arabic"/>
                <w:color w:val="000000" w:themeColor="text1"/>
                <w:sz w:val="36"/>
                <w:szCs w:val="36"/>
                <w:rtl/>
                <w:lang w:bidi="ar-JO"/>
              </w:rPr>
              <w:t xml:space="preserve"> لأجلِ الأحياءِ والأموات: يا أبتِ إنّ الَّذينَ أعطيتَني أُريدُ أن يَكونوا معي حيثُ أنا. يوحنّا 17</w:t>
            </w:r>
          </w:p>
        </w:tc>
      </w:tr>
    </w:tbl>
    <w:p w:rsidR="005D5FCE" w:rsidRPr="005D5FCE" w:rsidRDefault="005D5FCE" w:rsidP="005D5FCE">
      <w:pPr>
        <w:bidi/>
      </w:pPr>
    </w:p>
    <w:sectPr w:rsidR="005D5FCE" w:rsidRPr="005D5FCE" w:rsidSect="008C1A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D51FC"/>
    <w:rsid w:val="001B2227"/>
    <w:rsid w:val="00216E14"/>
    <w:rsid w:val="005D5FCE"/>
    <w:rsid w:val="006D51FC"/>
    <w:rsid w:val="007B2A6E"/>
    <w:rsid w:val="00862ABF"/>
    <w:rsid w:val="008C1A4A"/>
    <w:rsid w:val="00A30DE1"/>
    <w:rsid w:val="00C7409E"/>
    <w:rsid w:val="00C952BB"/>
    <w:rsid w:val="00CE3F25"/>
    <w:rsid w:val="00CE7BEC"/>
    <w:rsid w:val="00FF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93F777-6A92-4671-8D95-ADF8EB1C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0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rfares</dc:creator>
  <cp:keywords/>
  <dc:description/>
  <cp:lastModifiedBy>michel haddad</cp:lastModifiedBy>
  <cp:revision>6</cp:revision>
  <dcterms:created xsi:type="dcterms:W3CDTF">2015-10-02T06:20:00Z</dcterms:created>
  <dcterms:modified xsi:type="dcterms:W3CDTF">2015-12-13T07:19:00Z</dcterms:modified>
</cp:coreProperties>
</file>